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3.jpg" ContentType="image/jpeg"/>
  <Override PartName="/word/media/rId27.png" ContentType="image/png"/>
  <Override PartName="/word/media/rId39.jpg" ContentType="image/jpeg"/>
  <Override PartName="/word/media/rId37.jpg" ContentType="image/jpeg"/>
  <Override PartName="/word/media/rId33.jpg" ContentType="image/jpeg"/>
  <Override PartName="/word/media/rId30.jpg" ContentType="image/jpeg"/>
  <Override PartName="/word/media/rId26.jpg" ContentType="image/jpeg"/>
  <Override PartName="/word/media/rId34.jpg" ContentType="image/jpeg"/>
  <Override PartName="/word/media/rId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arrival</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22</w:t>
      </w:r>
      <w:r>
        <w:t xml:space="preserve"> </w:t>
      </w:r>
      <w:r>
        <w:t xml:space="preserve">September,</w:t>
      </w:r>
      <w:r>
        <w:t xml:space="preserve"> </w:t>
      </w:r>
      <w:r>
        <w:t xml:space="preserve">2019</w:t>
      </w:r>
    </w:p>
    <w:p>
      <w:pPr>
        <w:pStyle w:val="Compact"/>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a</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colonisation,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Taiwan, the northeast region was isolated from intensive direct contact by the Xueshan Mountains.</w:t>
      </w:r>
    </w:p>
    <w:p>
      <w:pPr>
        <w:pStyle w:val="BodyText"/>
      </w:pPr>
      <w:r>
        <w:t xml:space="preserve">This article describes ornaments excavated from Kiwulan (700-1900 AD), the largest Iron Age settlement on the Yilan plain in northeast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personal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I explore archaeological ornaments from Kiwulan spanning the pre-European contact period, the period of Spanish and Dutch presence, and the period of Chinese presence. I address the question of whether indirect colonial influences on the indigenous populations can be detected through the ornament assemblages.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The Spanish founded Fort San Salvador at Keelung in 1626 and Fort San Domingo in 1629 at Tamsui, and sent missionaries to local indigenous settlements in this region for religious purposes</w:t>
      </w:r>
      <w:r>
        <w:t xml:space="preserve"> </w:t>
      </w:r>
      <w:r>
        <w:t xml:space="preserve">(Blussé &amp; Everts 2000: 343)</w:t>
      </w:r>
      <w:r>
        <w:t xml:space="preserve">. A report by a Dominican priest in 1632 mentioned that the Taparri, an indigenous tribe from northern Taiwan, exchanged agate beads with other indigenous groups. This form of exchange was widespread and even the Spanish soldiers learned to use agate as bargaining chips for gambling</w:t>
      </w:r>
      <w:r>
        <w:t xml:space="preserve"> </w:t>
      </w:r>
      <w:r>
        <w:t xml:space="preserve">(Li &amp; Wu 2006: 132–49)</w:t>
      </w:r>
      <w:r>
        <w:t xml:space="preserve">. The use of beads as prestige goods is indicated by their role in bride price payments, and compensation to resolve disputes</w:t>
      </w:r>
      <w:r>
        <w:t xml:space="preserve"> </w:t>
      </w:r>
      <w:r>
        <w:t xml:space="preserve">(Li &amp; Wu 2006: 132–49)</w:t>
      </w:r>
      <w:r>
        <w:t xml:space="preserve">. Other records mention that the female shamans (majuorbol) in the tribe would use agate beads as magical items in ritual practice for body healing</w:t>
      </w:r>
      <w:r>
        <w:t xml:space="preserve"> </w:t>
      </w:r>
      <w:r>
        <w:t xml:space="preserve">(Borao 2009: 122–51)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&amp; Wu 2006: 153)</w:t>
      </w:r>
      <w:r>
        <w:t xml:space="preserve">. These historical accounts indicate that agate beads were already treated as prestige goods in Yilan before the arrival of Europeans.</w:t>
      </w:r>
    </w:p>
    <w:p>
      <w:pPr>
        <w:pStyle w:val="BodyText"/>
      </w:pPr>
      <w:r>
        <w:t xml:space="preserve">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travelling</w:t>
      </w:r>
      <w:r>
        <w:t xml:space="preserve"> </w:t>
      </w:r>
      <w:r>
        <w:t xml:space="preserve">(Kang 2016, ch. 6)</w:t>
      </w:r>
      <w:r>
        <w:t xml:space="preserve">. We might predict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golden fish-shaped necklaces made of copper threads had high value due to their delicacy and the materials invested in production. These were usually possessed by wealthy people. Other people wore agate beads or glass beads on their head or neck to participate in ceremonies. In 1895, at the beginning of Japanese colonisation, an academic field survey for plains indigenous groups reported that golden necklaces were not used in Yilan at that time, but elderly people still used beads</w:t>
      </w:r>
      <w:r>
        <w:t xml:space="preserve"> </w:t>
      </w:r>
      <w:r>
        <w:t xml:space="preserve">(Ino 1996: 227–32)</w:t>
      </w:r>
      <w:r>
        <w:t xml:space="preserve">.</w:t>
      </w:r>
    </w:p>
    <w:p>
      <w:pPr>
        <w:pStyle w:val="BodyText"/>
      </w:pPr>
      <w:r>
        <w:t xml:space="preserve">Recent ethnographic research with the members of the Kavalan tribe, the contemporary indigenous people of the Yilan plain, describes how agate beads were used in divination practices by female shamans</w:t>
      </w:r>
      <w:r>
        <w:t xml:space="preserve"> </w:t>
      </w:r>
      <w:r>
        <w:t xml:space="preserve">(Liu 2008: 133–34)</w:t>
      </w:r>
      <w:r>
        <w:t xml:space="preserve">. Interview records mention agate beads as valuable objects that are usually passed down from mother to daughter as heirlooms in shaman families. When not in use, beads were often hidden in safe places, such as on the roof beams. Despite most Kavalan people today not knowing the specific origin of their agate beads, the high value of beads is still indicated in oral history. In sum, we find multiple sources describing how ornaments represent high status or specialised social roles in indigenous communities in Yilan. However, compared to the European period, there are fewer mentions of beads in Chinese period and the descriptions are limited to clothing, but generally confirm the role of beads as status markers.</w:t>
      </w:r>
    </w:p>
    <w:p>
      <w:pPr>
        <w:pStyle w:val="Heading1"/>
      </w:pPr>
      <w:bookmarkStart w:id="22" w:name="excavations-at-kiwulan-in-northeast-taiwan"/>
      <w:r>
        <w:t xml:space="preserve">Excavations at Kiwulan in northeast Taiwan</w:t>
      </w:r>
      <w:bookmarkEnd w:id="22"/>
    </w:p>
    <w:p>
      <w:pPr>
        <w:pStyle w:val="CaptionedFigure"/>
      </w:pPr>
      <w:r>
        <w:drawing>
          <wp:inline>
            <wp:extent cx="5943600" cy="2639942"/>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3"/>
                    <a:stretch>
                      <a:fillRect/>
                    </a:stretch>
                  </pic:blipFill>
                  <pic:spPr bwMode="auto">
                    <a:xfrm>
                      <a:off x="0" y="0"/>
                      <a:ext cx="5943600" cy="2639942"/>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4470750"/>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943600" cy="4470750"/>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artefacts,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(700-1200 AD) and a Upper Layer Culture (1400-1900 AD) separated by a sterile. This chronology is based on the stratigraphy and a series of 32 radiocarbon dates previously published by</w:t>
      </w:r>
      <w:r>
        <w:t xml:space="preserve"> </w:t>
      </w:r>
      <w:r>
        <w:t xml:space="preserve">Chen (2007)</w:t>
      </w:r>
      <w:r>
        <w:t xml:space="preserve">. This paper focuses on the Upper Layer Culture because this has a sequence spanning pre-European contact, European presence, and Chinese presence. Previous researchers divided the Upper Layer Culture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Due to ambiguities in the previous chronology, I re-examined the excavation records to produce a new chronology for the sampled squares. For each sampled square I separated excavation units into three episodes of time: pre-European period, European period, and Chinese period to indicate the dominant foreign influence and cultural interaction for different time periods.</w:t>
      </w:r>
    </w:p>
    <w:p>
      <w:pPr>
        <w:pStyle w:val="BodyText"/>
      </w:pPr>
      <w:r>
        <w:t xml:space="preserve">The archaeological indicators of the start of the European influence at Kiwulan are the appearance of An-ping jars and stonewares (martavans/martaban) that were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The European colonial presence in northern Taiwan ended in 1662 when the Dutch were defeated by the kingdom of Tungning founded by Koxinga from China. Later in 1683, the Qing dynasty ruled over Taiwan and a large wave of Han Chinese migrated to Yilan during the late 18th century. The archaeological signature of the Chinese period at Kiwulan is the large amount and diversity of Chinese porcelains, clay stoves. Other indicators include opium pipe-bowls and distinctive architectural bricks and tiles</w:t>
      </w:r>
      <w:r>
        <w:t xml:space="preserve"> </w:t>
      </w:r>
      <w:r>
        <w:t xml:space="preserve">(Hsieh 2009)</w:t>
      </w:r>
      <w:r>
        <w:t xml:space="preserve">. Chinese migrations to Yilan were also recorded in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Frequency represents artefact count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 Frequency represents artefact counts</w:t>
      </w:r>
    </w:p>
    <w:p>
      <w:pPr>
        <w:pStyle w:val="TableCaption"/>
      </w:pPr>
      <w:r>
        <w:t xml:space="preserve">Table 1: Ornament subtype at Kiwulan. The numbers represent artefact counts</w:t>
      </w:r>
    </w:p>
    <w:tbl>
      <w:tblPr>
        <w:tblStyle w:val="Table"/>
        <w:tblW w:type="pct" w:w="0.0"/>
        <w:tblLook w:firstRow="1"/>
        <w:tblCaption w:val="Table 1: Ornament subtype at Kiwulan. The numbers represent arte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This study focuses on 406 ornaments from 40 sampling squares that were excavated</w:t>
      </w:r>
      <w:r>
        <w:t xml:space="preserve"> </w:t>
      </w:r>
      <w:r>
        <w:rPr>
          <w:i/>
        </w:rPr>
        <w:t xml:space="preserve">in situ</w:t>
      </w:r>
      <w:r>
        <w:t xml:space="preserve"> </w:t>
      </w:r>
      <w:r>
        <w:t xml:space="preserve">from the household area of Kiwulan, indicated by numerous post-holes (Figure</w:t>
      </w:r>
      <w:r>
        <w:t xml:space="preserve"> </w:t>
      </w:r>
      <w:r>
        <w:t xml:space="preserve">2</w:t>
      </w:r>
      <w:r>
        <w:t xml:space="preserve">). Thirty burials contained 3,173 ornaments, and 27 ornaments were recovered from middens. In the burials ornaments were in the form of bead strings that consisted of hundreds to thousands of pieces per burial. The ornaments from the burial contexts are not analysed here since few burials can be confidently assigned to a time period. The household area represents domestic spaces suitable for testing for changes in ornament distribution relating to social organisation. Figure</w:t>
      </w:r>
      <w:r>
        <w:t xml:space="preserve"> </w:t>
      </w:r>
      <w:r>
        <w:t xml:space="preserve">3</w:t>
      </w:r>
      <w:r>
        <w:t xml:space="preserve"> </w:t>
      </w:r>
      <w:r>
        <w:t xml:space="preserve">shows that the most common ornament are golden beads (n = 143), followed by glass beads (n = 121), agate beads (n = 46), metal rings (n = 35), and metal bells (n = 22, see also Figure</w:t>
      </w:r>
      <w:r>
        <w:t xml:space="preserve"> </w:t>
      </w:r>
      <w:r>
        <w:t xml:space="preserve">4</w:t>
      </w:r>
      <w:r>
        <w:t xml:space="preserve">). The variety of subtypes and their individual frequencies are summarized in Table</w:t>
      </w:r>
      <w:r>
        <w:t xml:space="preserve"> </w:t>
      </w:r>
      <w:r>
        <w:t xml:space="preserve">1</w:t>
      </w:r>
      <w:r>
        <w:t xml:space="preserve">.</w:t>
      </w:r>
    </w:p>
    <w:p>
      <w:pPr>
        <w:pStyle w:val="Heading1"/>
      </w:pPr>
      <w:bookmarkStart w:id="28" w:name="reproducibility-and-open-source-materials"/>
      <w:r>
        <w:t xml:space="preserve">Reproducibility and open source materials</w:t>
      </w:r>
      <w:bookmarkEnd w:id="28"/>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visualisations contained in this paper is included in</w:t>
      </w:r>
      <w:r>
        <w:t xml:space="preserve"> </w:t>
      </w:r>
      <w:hyperlink r:id="rId29">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199952"/>
            <wp:effectExtent b="0" l="0" r="0" t="0"/>
            <wp:docPr descr="Figure 5: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0"/>
                    <a:stretch>
                      <a:fillRect/>
                    </a:stretch>
                  </pic:blipFill>
                  <pic:spPr bwMode="auto">
                    <a:xfrm>
                      <a:off x="0" y="0"/>
                      <a:ext cx="5943600" cy="2199952"/>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31" w:name="results"/>
      <w:r>
        <w:t xml:space="preserve">Results</w:t>
      </w:r>
      <w:bookmarkEnd w:id="31"/>
    </w:p>
    <w:p>
      <w:pPr>
        <w:pStyle w:val="Heading2"/>
      </w:pPr>
      <w:bookmarkStart w:id="32" w:name="changes-in-the-frequencies-of-ornament-types-over-time"/>
      <w:r>
        <w:t xml:space="preserve">Changes in the frequencies of ornament types over time</w:t>
      </w:r>
      <w:bookmarkEnd w:id="32"/>
    </w:p>
    <w:p>
      <w:pPr>
        <w:pStyle w:val="FirstParagraph"/>
      </w:pPr>
      <w:r>
        <w:t xml:space="preserve">Figure</w:t>
      </w:r>
      <w:r>
        <w:t xml:space="preserve"> </w:t>
      </w:r>
      <w:r>
        <w:t xml:space="preserve">5</w:t>
      </w:r>
      <w:r>
        <w:t xml:space="preserve"> </w:t>
      </w:r>
      <w:r>
        <w:t xml:space="preserve">shows the comparison of frequencies of the major classes of ornaments for different the time periods at Kiwulan. The difference in frequencies between the three time periods reflect significant differences in the use of ornaments (chi-square = 71.82, df = 8, p-value =</w:t>
      </w:r>
      <w:r>
        <w:t xml:space="preserve"> </w:t>
      </w:r>
      <m:oMath>
        <m:r>
          <m:t>2.136325</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golden beads. This trend can be also seen on other ornaments including agate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943600" cy="4183638"/>
            <wp:effectExtent b="0" l="0" r="0" t="0"/>
            <wp:docPr descr="Figure 6: Frequency of ornament subtypes showing the changes in frequency across time periods for metal rings, agate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3"/>
                    <a:stretch>
                      <a:fillRect/>
                    </a:stretch>
                  </pic:blipFill>
                  <pic:spPr bwMode="auto">
                    <a:xfrm>
                      <a:off x="0" y="0"/>
                      <a:ext cx="5943600" cy="4183638"/>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time periods for metal rings, agate beads, bells, and glass beads.</w:t>
      </w:r>
    </w:p>
    <w:p>
      <w:pPr>
        <w:pStyle w:val="BodyText"/>
      </w:pPr>
      <w:r>
        <w:t xml:space="preserve">The distribution of frequencies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effects of sample size. Agate beads and metal rings have greater quantity and variety of shapes compared to copper bell and glass beads during the European period. The greater varieties for agate beads and metal rings might indicate multiple origins due to participation in global trade networks stimulated by the European presence. In contrast, copper bells and glass beads have less variety, but glass beads have a larger number because they were usually found in clusters that indicate their original use as strings or necklaces. Copper bells are typically &gt;2 cm long with a wide variety of human faces as a motif, while glass beads are usually &lt;0.5 cm long Indo-Pacific beads, widespread in Southeast Asian sites since 300 BC</w:t>
      </w:r>
      <w:r>
        <w:t xml:space="preserve"> </w:t>
      </w:r>
      <w:r>
        <w:t xml:space="preserve">(Francis 2002)</w:t>
      </w:r>
      <w:r>
        <w:t xml:space="preserve">.</w:t>
      </w:r>
    </w:p>
    <w:p>
      <w:pPr>
        <w:pStyle w:val="CaptionedFigure"/>
      </w:pPr>
      <w:r>
        <w:drawing>
          <wp:inline>
            <wp:extent cx="5943600" cy="1364716"/>
            <wp:effectExtent b="0" l="0" r="0" t="0"/>
            <wp:docPr descr="Figure 7: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4"/>
                    <a:stretch>
                      <a:fillRect/>
                    </a:stretch>
                  </pic:blipFill>
                  <pic:spPr bwMode="auto">
                    <a:xfrm>
                      <a:off x="0" y="0"/>
                      <a:ext cx="5943600" cy="1364716"/>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3609413"/>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5"/>
                    <a:stretch>
                      <a:fillRect/>
                    </a:stretch>
                  </pic:blipFill>
                  <pic:spPr bwMode="auto">
                    <a:xfrm>
                      <a:off x="0" y="0"/>
                      <a:ext cx="5943600" cy="3609413"/>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6" w:name="changes-in-patterns-of-the-spatial-distribution-of-ornament-types"/>
      <w:r>
        <w:t xml:space="preserve">Changes in patterns of the spatial distribution of ornament types</w:t>
      </w:r>
      <w:bookmarkEnd w:id="36"/>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period, such as golden beads and agate beads. However, there seems to be no clear consistent pattern across those different ornaments. Each class shows its own pattern where the squares with higher number of ornaments distributed separately and independently. For example, a cluster of golden beads was found at the northern part, while a cluster of agate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CaptionedFigure"/>
      </w:pPr>
      <w:r>
        <w:drawing>
          <wp:inline>
            <wp:extent cx="5943600" cy="1759961"/>
            <wp:effectExtent b="0" l="0" r="0" t="0"/>
            <wp:docPr descr="Figure 9: Kernel density map for ornaments by periods. Used the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37"/>
                    <a:stretch>
                      <a:fillRect/>
                    </a:stretch>
                  </pic:blipFill>
                  <pic:spPr bwMode="auto">
                    <a:xfrm>
                      <a:off x="0" y="0"/>
                      <a:ext cx="5943600" cy="1759961"/>
                    </a:xfrm>
                    <a:prstGeom prst="rect">
                      <a:avLst/>
                    </a:prstGeom>
                    <a:noFill/>
                    <a:ln w="9525">
                      <a:noFill/>
                      <a:headEnd/>
                      <a:tailEnd/>
                    </a:ln>
                  </pic:spPr>
                </pic:pic>
              </a:graphicData>
            </a:graphic>
          </wp:inline>
        </w:drawing>
      </w:r>
    </w:p>
    <w:p>
      <w:pPr>
        <w:pStyle w:val="ImageCaption"/>
      </w:pPr>
      <w:r>
        <w:t xml:space="preserve">Figure 9: Kernel density map for ornaments by periods. Used the bandwidth based on Silverman (1986)’s rule of thumb.</w:t>
      </w:r>
    </w:p>
    <w:p>
      <w:pPr>
        <w:pStyle w:val="Heading2"/>
      </w:pPr>
      <w:bookmarkStart w:id="38" w:name="point-pattern-analysis-of-ornament-distribution"/>
      <w:r>
        <w:t xml:space="preserve">Point pattern analysis of ornament distribution</w:t>
      </w:r>
      <w:bookmarkEnd w:id="38"/>
    </w:p>
    <w:p>
      <w:pPr>
        <w:pStyle w:val="FirstParagraph"/>
      </w:pPr>
      <w:r>
        <w:t xml:space="preserve">Point pattern analysis can assess whether the distribution of artefacts represents hotspots produced by non-random processes</w:t>
      </w:r>
      <w:r>
        <w:t xml:space="preserve"> </w:t>
      </w:r>
      <w:r>
        <w:t xml:space="preserve">(Bevan &amp; Lake 2016; Ducke 2015)</w:t>
      </w:r>
      <w:r>
        <w:t xml:space="preserve">, such as concentrations of ornaments resulting from social inequality stimulated by a colonial presence. To prepare the ornament location data for point pattern analysis, I assigned each ornament to a random coordinate pair located in 4 x 4 m square it was recovered from (ornaments lack individual point provenance). The next step was to divide the ornaments into three time periods. Finally I computed the kernel densities for each time period for comparison. Kernel density estimations (KDE) compute the probability of the density of ornaments across space by creating a continuous, smooth density surface across space. Here I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artefacts per square meter were calculated for each cell.</w:t>
      </w:r>
    </w:p>
    <w:p>
      <w:pPr>
        <w:pStyle w:val="BodyText"/>
      </w:pPr>
      <w:r>
        <w:t xml:space="preserve">Figure</w:t>
      </w:r>
      <w:r>
        <w:t xml:space="preserve"> </w:t>
      </w:r>
      <w:r>
        <w:t xml:space="preserve">9</w:t>
      </w:r>
      <w:r>
        <w:t xml:space="preserve"> </w:t>
      </w:r>
      <w:r>
        <w:t xml:space="preserve">shows that there is one major core area during the pre-European period, multiple core areas during European period, and a single core during the Chinese period. There are three consistent sub-regions with a core area that shifts over time. The distribution might indicate increase and decrease in the number of different household-based social groups who possessed more ornaments. The multiple groups during the European period might reflect more unequal consumption of ornaments across the site, relative to other periods, or random patterns resulting from bigger sample size. In addition, the generation of core areas might be biased due to small sample sizes, for example, a few ornaments found at one single square during the Chinese period could create an obvious hotspot.</w:t>
      </w:r>
    </w:p>
    <w:p>
      <w:pPr>
        <w:pStyle w:val="CaptionedFigure"/>
      </w:pPr>
      <w:r>
        <w:drawing>
          <wp:inline>
            <wp:extent cx="5943600" cy="9911596"/>
            <wp:effectExtent b="0" l="0" r="0" t="0"/>
            <wp:docPr descr="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39"/>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I used a Monte Carlo method to simulate average nearest-neighbour distances (ANN). Figure</w:t>
      </w:r>
      <w:r>
        <w:t xml:space="preserve"> </w:t>
      </w:r>
      <w:r>
        <w:t xml:space="preserve">10</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This testing reveals that the clustered distributions of ornaments during the pre-European and European periods might reflect the presence of different social groups. Moreover, the clustering of ornaments during the European period is highly non-random, potentially indicating different degrees of access to foreign ornaments or a concentration of power to control the distribution of ornaments at Kiwulan.</w:t>
      </w:r>
    </w:p>
    <w:p>
      <w:pPr>
        <w:pStyle w:val="Heading1"/>
      </w:pPr>
      <w:bookmarkStart w:id="40" w:name="discussion"/>
      <w:r>
        <w:t xml:space="preserve">Discussion</w:t>
      </w:r>
      <w:bookmarkEnd w:id="40"/>
    </w:p>
    <w:p>
      <w:pPr>
        <w:pStyle w:val="FirstParagraph"/>
      </w:pPr>
      <w:r>
        <w:t xml:space="preserve">An indirect colonial presence is indicated at Kiwulan by a greater diversity of ornaments types and materials during the European period. This likely results from participation in large scale exchange networks that stimulated the circulation of different ornament classes. However, the frequency of overall ornaments and each subtype declines significantly during the Chinese period. This may be due to a smaller scale of trading network, the overall decline of the indigenous population in Yilan, and adopting the practices of Han Chinese who did not use these kinds of beads in their dress. Since the end of the 18th century, many indigenous people moved southwards to Hualien due to population pressure caused by Han Chinese immigrants</w:t>
      </w:r>
      <w:r>
        <w:t xml:space="preserve"> </w:t>
      </w:r>
      <w:r>
        <w:t xml:space="preserve">(Chen 2007)</w:t>
      </w:r>
      <w:r>
        <w:t xml:space="preserve">.</w:t>
      </w:r>
    </w:p>
    <w:p>
      <w:pPr>
        <w:pStyle w:val="BodyText"/>
      </w:pPr>
      <w:r>
        <w:t xml:space="preserve">Spatial patterns of ornaments shows that their distribution was clustered during the pre-European and European period. Testing for spatial patterns indicates that these clusters are non-random, and are most highly concentrated during the European period. Because ethnographic evidence indicates that trade ornaments were prestige goods in prehistoric Northeastern Taiwan, this spatial clustering may indicate that a degree of social inequality was present before European contact and then it was reinforced and amplified during the European period. A further indicator of increasing social inequality is a burial dated to the 17th century that included 60 golden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w:t>
      </w:r>
    </w:p>
    <w:p>
      <w:pPr>
        <w:pStyle w:val="BodyText"/>
      </w:pPr>
      <w:r>
        <w:t xml:space="preserve">Yilan social organisation went from corporate mode before the European arrival, then transitioned to network mode during the European presence, then back to corporate mode in the Chinese period. The small number of ornaments, and less concentrated distribution during the pre-European period is consistent with shared power and wealth of the corporate mode. The long-distance trade network introduced by Europeans resulted in the appearance of a network mode due to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 Taiwan, local leaders may have had the flexibility to manipulate European colonial images, expand personal power, and monopolize the high-value trade goods</w:t>
      </w:r>
      <w:r>
        <w:t xml:space="preserve"> </w:t>
      </w:r>
      <w:r>
        <w:t xml:space="preserve">(Kang 2012)</w:t>
      </w:r>
      <w:r>
        <w:t xml:space="preserve">. During the Chinese period, the decreasing frequency and diversity of ornaments show a decline in the production, use and discard of ornaments at Kiwulan. This reflects the smaller scale of exchange networks, with limited sources of ornaments, and limited opportunities for individuals to accumulate wealth.</w:t>
      </w:r>
    </w:p>
    <w:p>
      <w:pPr>
        <w:pStyle w:val="Heading1"/>
      </w:pPr>
      <w:bookmarkStart w:id="41" w:name="conclusion"/>
      <w:r>
        <w:t xml:space="preserve">Conclusion</w:t>
      </w:r>
      <w:bookmarkEnd w:id="41"/>
    </w:p>
    <w:p>
      <w:pPr>
        <w:pStyle w:val="FirstParagraph"/>
      </w:pPr>
      <w:r>
        <w:t xml:space="preserve">Examination of the indirect influence of colonialism can reveal how peripheral areas were influenced by colonial activities or involved in the colonial economy centred in the major European colonies</w:t>
      </w:r>
      <w:r>
        <w:t xml:space="preserve"> </w:t>
      </w:r>
      <w:r>
        <w:t xml:space="preserve">(Trabert 2017)</w:t>
      </w:r>
      <w:r>
        <w:t xml:space="preserve">. Kiwulan in northeast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body ornaments at Kiwulan present three distinct patterns during different dominant culture interaction periods. The greater amount and diversity of ornament types during the European period reflects international exchanges in a colonial context. Ornaments were viewed as prestige goods in the local indigenous culture before European contact. After the arrival of the Europeans, the exotic and powerful image carried by those ornaments may have intensified, further signalling wealth and privileged trading connections among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We are still far from understanding the full variety of colonial impacts on peripheral indigenous communities. The Kiwulan ornaments suggest that foreign ornaments can be a proxy to detect indirect colonial influence on local indigenous populations. Ornaments give insights into the amplification of social inequality stimulated by European colonisation. It also shows the agency of indigenous people to incorporate ornaments into their social system and use them in their daily lives to display or intensify status differences.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standardisation, and mortuary practices.</w:t>
      </w:r>
    </w:p>
    <w:p>
      <w:pPr>
        <w:pStyle w:val="Heading1"/>
      </w:pPr>
      <w:bookmarkStart w:id="42" w:name="acknowledgments"/>
      <w:r>
        <w:t xml:space="preserve">Acknowledgments</w:t>
      </w:r>
      <w:bookmarkEnd w:id="42"/>
    </w:p>
    <w:p>
      <w:pPr>
        <w:pStyle w:val="FirstParagraph"/>
      </w:pPr>
      <w:r>
        <w:t xml:space="preserve">I would like to thank the Yilan County Cultural Affairs Bureau in Taiwan for permitting access to the ornaments used in this study. I thank Shui-jin Chiu, Shu-hui Jian, Jiun-yao Lai, and the staff in archaeology lab for their invaluable assistance in preparing samples for analysis. I also thank Yu-pei Chen for the discussion regarding the site at the earliest stage of fieldwork. This work was supported in part by the Fritz Graduate Fellowship and travel grants from the Department of Anthropology at University of Washington. I would also like to thank Ben Fitzhugh and Peter Lape for their insightful comments on the early draft. I especially thank Ben Marwick for providing academic support during this project, helping me with polishing figures with R language, and providing feedback on early drafts of this manuscript.</w:t>
      </w:r>
    </w:p>
    <w:p>
      <w:pPr>
        <w:pStyle w:val="Heading5"/>
      </w:pPr>
      <w:bookmarkStart w:id="43" w:name="pagebreak"/>
      <w:r>
        <w:t xml:space="preserve">pagebreak</w:t>
      </w:r>
      <w:bookmarkEnd w:id="43"/>
    </w:p>
    <w:p>
      <w:pPr>
        <w:pStyle w:val="Heading1"/>
      </w:pPr>
      <w:bookmarkStart w:id="44" w:name="references"/>
      <w:r>
        <w:t xml:space="preserve">References</w:t>
      </w:r>
      <w:bookmarkEnd w:id="44"/>
    </w:p>
    <w:bookmarkStart w:id="102" w:name="refs"/>
    <w:bookmarkStart w:id="45" w:name="ref-Ames2010"/>
    <w:p>
      <w:pPr>
        <w:pStyle w:val="FirstParagraph"/>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5"/>
    <w:bookmarkStart w:id="46" w:name="ref-Andrade2007"/>
    <w:p>
      <w:pPr>
        <w:pStyle w:val="BodyText"/>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6"/>
    <w:bookmarkStart w:id="47" w:name="ref-Bellina2014"/>
    <w:p>
      <w:pPr>
        <w:pStyle w:val="BodyText"/>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7"/>
    <w:bookmarkStart w:id="48" w:name="ref-Berrocal2018"/>
    <w:p>
      <w:pPr>
        <w:pStyle w:val="BodyText"/>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8"/>
    <w:bookmarkStart w:id="49" w:name="ref-Bevan2016"/>
    <w:p>
      <w:pPr>
        <w:pStyle w:val="BodyText"/>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49"/>
    <w:bookmarkStart w:id="50" w:name="ref-Blusse2000"/>
    <w:p>
      <w:pPr>
        <w:pStyle w:val="BodyText"/>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0"/>
    <w:bookmarkStart w:id="51" w:name="ref-Bonnier2019"/>
    <w:p>
      <w:pPr>
        <w:pStyle w:val="BodyText"/>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1"/>
    <w:bookmarkStart w:id="52" w:name="ref-Borao2001"/>
    <w:p>
      <w:pPr>
        <w:pStyle w:val="BodyText"/>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2"/>
    <w:bookmarkStart w:id="53" w:name="ref-Borao2009"/>
    <w:p>
      <w:pPr>
        <w:pStyle w:val="BodyText"/>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3"/>
    <w:bookmarkStart w:id="54" w:name="ref-Bowles2010"/>
    <w:p>
      <w:pPr>
        <w:pStyle w:val="BodyText"/>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4"/>
    <w:bookmarkStart w:id="55" w:name="ref-Brumfiel1994"/>
    <w:p>
      <w:pPr>
        <w:pStyle w:val="BodyText"/>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5"/>
    <w:bookmarkStart w:id="56" w:name="ref-Carter2016"/>
    <w:p>
      <w:pPr>
        <w:pStyle w:val="BodyText"/>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6"/>
    <w:bookmarkStart w:id="57" w:name="ref-Chen1963"/>
    <w:p>
      <w:pPr>
        <w:pStyle w:val="BodyText"/>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7"/>
    <w:bookmarkStart w:id="58" w:name="ref-Chen2007"/>
    <w:p>
      <w:pPr>
        <w:pStyle w:val="BodyText"/>
      </w:pPr>
      <w:r>
        <w:rPr>
          <w:smallCaps/>
        </w:rPr>
        <w:t xml:space="preserve">Chen</w:t>
      </w:r>
      <w:r>
        <w:t xml:space="preserve">, Y.-p. 2007.</w:t>
      </w:r>
      <w:r>
        <w:t xml:space="preserve"> </w:t>
      </w:r>
      <w:r>
        <w:rPr>
          <w:i/>
        </w:rPr>
        <w:t xml:space="preserve">Qi wu lan yi zhi qiang jiu fa jue bao gao [ report on the archaeological excavations at ki-wu-lan site]</w:t>
      </w:r>
      <w:r>
        <w:t xml:space="preserve">. Yilan, Taiwan: Lanyang museum.</w:t>
      </w:r>
    </w:p>
    <w:bookmarkEnd w:id="58"/>
    <w:bookmarkStart w:id="59" w:name="ref-Cheng2008"/>
    <w:p>
      <w:pPr>
        <w:pStyle w:val="BodyText"/>
      </w:pPr>
      <w:r>
        <w:rPr>
          <w:smallCaps/>
        </w:rPr>
        <w:t xml:space="preserve">Cheng</w:t>
      </w:r>
      <w:r>
        <w:t xml:space="preserve">, C.-F. 2008. Qi wu lan yi zhi yu she nei yi zhi chu tu bo li zhu de xiang guan yan jiu [studies of glass beads excavated from kivulan and shenei site, taiwan]. Master’s thesis.</w:t>
      </w:r>
    </w:p>
    <w:bookmarkEnd w:id="59"/>
    <w:bookmarkStart w:id="60" w:name="ref-Clark1994"/>
    <w:p>
      <w:pPr>
        <w:pStyle w:val="BodyText"/>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0"/>
    <w:bookmarkStart w:id="61" w:name="ref-Cort2017"/>
    <w:p>
      <w:pPr>
        <w:pStyle w:val="BodyText"/>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1"/>
    <w:bookmarkStart w:id="62" w:name="ref-Cortegoso2016"/>
    <w:p>
      <w:pPr>
        <w:pStyle w:val="BodyText"/>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2"/>
    <w:bookmarkStart w:id="63" w:name="ref-Dietler1997"/>
    <w:p>
      <w:pPr>
        <w:pStyle w:val="BodyText"/>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3"/>
    <w:bookmarkStart w:id="64" w:name="ref-Dietler2005"/>
    <w:p>
      <w:pPr>
        <w:pStyle w:val="BodyText"/>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4"/>
    <w:bookmarkStart w:id="65" w:name="ref-Dietler2015"/>
    <w:p>
      <w:pPr>
        <w:pStyle w:val="BodyText"/>
      </w:pPr>
      <w:r>
        <w:t xml:space="preserve">— 2015.</w:t>
      </w:r>
      <w:r>
        <w:t xml:space="preserve"> </w:t>
      </w:r>
      <w:r>
        <w:rPr>
          <w:i/>
        </w:rPr>
        <w:t xml:space="preserve">Archaeologies of colonialism: Consumption, entanglement, and violence in ancient mediterranean france</w:t>
      </w:r>
      <w:r>
        <w:t xml:space="preserve">. Univ of California Press.</w:t>
      </w:r>
    </w:p>
    <w:bookmarkEnd w:id="65"/>
    <w:bookmarkStart w:id="66" w:name="ref-Drennan2010"/>
    <w:p>
      <w:pPr>
        <w:pStyle w:val="BodyText"/>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66"/>
    <w:bookmarkStart w:id="67" w:name="ref-Ducke2015"/>
    <w:p>
      <w:pPr>
        <w:pStyle w:val="BodyText"/>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67"/>
    <w:bookmarkStart w:id="68" w:name="ref-Feinman2000"/>
    <w:p>
      <w:pPr>
        <w:pStyle w:val="BodyText"/>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68"/>
    <w:bookmarkStart w:id="69" w:name="ref-Francis2002"/>
    <w:p>
      <w:pPr>
        <w:pStyle w:val="BodyText"/>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69"/>
    <w:bookmarkStart w:id="70" w:name="ref-Given2004"/>
    <w:p>
      <w:pPr>
        <w:pStyle w:val="BodyText"/>
      </w:pPr>
      <w:r>
        <w:rPr>
          <w:smallCaps/>
        </w:rPr>
        <w:t xml:space="preserve">Given</w:t>
      </w:r>
      <w:r>
        <w:t xml:space="preserve">, M. 2004.</w:t>
      </w:r>
      <w:r>
        <w:t xml:space="preserve"> </w:t>
      </w:r>
      <w:r>
        <w:rPr>
          <w:i/>
        </w:rPr>
        <w:t xml:space="preserve">The archaeology of the colonized</w:t>
      </w:r>
      <w:r>
        <w:t xml:space="preserve">. London; New York: Routledge.</w:t>
      </w:r>
    </w:p>
    <w:bookmarkEnd w:id="70"/>
    <w:bookmarkStart w:id="71" w:name="ref-Grave2013"/>
    <w:p>
      <w:pPr>
        <w:pStyle w:val="BodyText"/>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1"/>
    <w:bookmarkStart w:id="72" w:name="ref-Hsieh2009"/>
    <w:p>
      <w:pPr>
        <w:pStyle w:val="BodyText"/>
      </w:pPr>
      <w:r>
        <w:rPr>
          <w:smallCaps/>
        </w:rPr>
        <w:t xml:space="preserve">Hsieh</w:t>
      </w:r>
      <w:r>
        <w:t xml:space="preserve">, E. 2009. Yi lan qi wu lan yi zhi chu tu wai lai tao ci qi zhi xiang guan yan jiu [the study of imported ceramics excavated at the ki-wu-lan site, i-lan]. Master’s thesis.</w:t>
      </w:r>
    </w:p>
    <w:bookmarkEnd w:id="72"/>
    <w:bookmarkStart w:id="73" w:name="ref-Ino1996"/>
    <w:p>
      <w:pPr>
        <w:pStyle w:val="BodyText"/>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73"/>
    <w:bookmarkStart w:id="74" w:name="ref-Joyce2005"/>
    <w:p>
      <w:pPr>
        <w:pStyle w:val="BodyText"/>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74"/>
    <w:bookmarkStart w:id="75" w:name="ref-Junker1993"/>
    <w:p>
      <w:pPr>
        <w:pStyle w:val="BodyText"/>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75"/>
    <w:bookmarkStart w:id="76" w:name="ref-Kang2012"/>
    <w:p>
      <w:pPr>
        <w:pStyle w:val="BodyText"/>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76"/>
    <w:bookmarkStart w:id="77" w:name="ref-Kang2016"/>
    <w:p>
      <w:pPr>
        <w:pStyle w:val="BodyText"/>
      </w:pPr>
      <w:r>
        <w:t xml:space="preserve">— 2016.</w:t>
      </w:r>
      <w:r>
        <w:t xml:space="preserve"> </w:t>
      </w:r>
      <w:r>
        <w:rPr>
          <w:i/>
        </w:rPr>
        <w:t xml:space="preserve">Colonial imagination and local variations: The dutch east india company and the formosan austronesians</w:t>
      </w:r>
      <w:r>
        <w:t xml:space="preserve">. Lian-jing.</w:t>
      </w:r>
    </w:p>
    <w:bookmarkEnd w:id="77"/>
    <w:bookmarkStart w:id="78" w:name="ref-Ke1993"/>
    <w:p>
      <w:pPr>
        <w:pStyle w:val="BodyText"/>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78"/>
    <w:bookmarkStart w:id="79" w:name="ref-Kenoyer2000"/>
    <w:p>
      <w:pPr>
        <w:pStyle w:val="BodyText"/>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79"/>
    <w:bookmarkStart w:id="80" w:name="ref-Ketel2011"/>
    <w:p>
      <w:pPr>
        <w:pStyle w:val="BodyText"/>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0"/>
    <w:bookmarkStart w:id="81" w:name="ref-Klose2018"/>
    <w:p>
      <w:pPr>
        <w:pStyle w:val="BodyText"/>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1"/>
    <w:bookmarkStart w:id="82" w:name="ref-Li2014"/>
    <w:p>
      <w:pPr>
        <w:pStyle w:val="BodyText"/>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82"/>
    <w:bookmarkStart w:id="83" w:name="ref-LiandWu2006"/>
    <w:p>
      <w:pPr>
        <w:pStyle w:val="BodyText"/>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83"/>
    <w:bookmarkStart w:id="84" w:name="ref-Liu2008"/>
    <w:p>
      <w:pPr>
        <w:pStyle w:val="BodyText"/>
      </w:pPr>
      <w:r>
        <w:rPr>
          <w:smallCaps/>
        </w:rPr>
        <w:t xml:space="preserve">Liu</w:t>
      </w:r>
      <w:r>
        <w:t xml:space="preserve">, P.-c. 2008.</w:t>
      </w:r>
      <w:r>
        <w:t xml:space="preserve"> </w:t>
      </w:r>
      <w:r>
        <w:rPr>
          <w:i/>
        </w:rPr>
        <w:t xml:space="preserve">Identity, gender and settlement: Ritual studies of changing kavalan</w:t>
      </w:r>
      <w:r>
        <w:t xml:space="preserve">. Nantou: Council of Indigenous Peoples, Executive Yuan: Taiwan Historica.</w:t>
      </w:r>
    </w:p>
    <w:bookmarkEnd w:id="84"/>
    <w:bookmarkStart w:id="85" w:name="ref-Marwick2017"/>
    <w:p>
      <w:pPr>
        <w:pStyle w:val="BodyText"/>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85"/>
    <w:bookmarkStart w:id="86" w:name="ref-Marwick2018"/>
    <w:p>
      <w:pPr>
        <w:pStyle w:val="BodyText"/>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86"/>
    <w:bookmarkStart w:id="87" w:name="ref-Mullins2011"/>
    <w:p>
      <w:pPr>
        <w:pStyle w:val="BodyText"/>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87"/>
    <w:bookmarkStart w:id="88" w:name="ref-Nakamura1938"/>
    <w:p>
      <w:pPr>
        <w:pStyle w:val="BodyText"/>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88"/>
    <w:bookmarkStart w:id="89" w:name="ref-NMTH2005"/>
    <w:p>
      <w:pPr>
        <w:pStyle w:val="BodyText"/>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89"/>
    <w:bookmarkStart w:id="91" w:name="ref-Rlanguage2019"/>
    <w:p>
      <w:pPr>
        <w:pStyle w:val="BodyText"/>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90">
        <w:r>
          <w:rPr>
            <w:rStyle w:val="Hyperlink"/>
          </w:rPr>
          <w:t xml:space="preserve">https://www.R-project.org</w:t>
        </w:r>
      </w:hyperlink>
      <w:r>
        <w:t xml:space="preserve">.</w:t>
      </w:r>
    </w:p>
    <w:bookmarkEnd w:id="91"/>
    <w:bookmarkStart w:id="92" w:name="ref-Scaramelli2005"/>
    <w:p>
      <w:pPr>
        <w:pStyle w:val="BodyText"/>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92"/>
    <w:bookmarkStart w:id="93" w:name="ref-Siegel1999"/>
    <w:p>
      <w:pPr>
        <w:pStyle w:val="BodyText"/>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93"/>
    <w:bookmarkStart w:id="94" w:name="ref-Silliman2001"/>
    <w:p>
      <w:pPr>
        <w:pStyle w:val="BodyText"/>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94"/>
    <w:bookmarkStart w:id="95" w:name="ref-Silliman2005"/>
    <w:p>
      <w:pPr>
        <w:pStyle w:val="BodyText"/>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95"/>
    <w:bookmarkStart w:id="96" w:name="ref-Theunissen2000"/>
    <w:p>
      <w:pPr>
        <w:pStyle w:val="BodyText"/>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96"/>
    <w:bookmarkStart w:id="97" w:name="ref-TorrenceandClarke2000"/>
    <w:p>
      <w:pPr>
        <w:pStyle w:val="BodyText"/>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97"/>
    <w:bookmarkStart w:id="98" w:name="ref-Trabert2017"/>
    <w:p>
      <w:pPr>
        <w:pStyle w:val="BodyText"/>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98"/>
    <w:bookmarkStart w:id="99" w:name="ref-Voss2005"/>
    <w:p>
      <w:pPr>
        <w:pStyle w:val="BodyText"/>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99"/>
    <w:bookmarkStart w:id="100" w:name="ref-Wang2011"/>
    <w:p>
      <w:pPr>
        <w:pStyle w:val="BodyText"/>
      </w:pPr>
      <w:r>
        <w:rPr>
          <w:smallCaps/>
        </w:rPr>
        <w:t xml:space="preserve">Wang</w:t>
      </w:r>
      <w:r>
        <w:t xml:space="preserve">, L.-Y. 2011. Yi lan qi wu lan yi zhi chu tu zhuang shi pin zhi xiang guan yan jiu [a research of ornaments excavated at ki-wu-lan site, i-lan]. Master’s thesis.</w:t>
      </w:r>
    </w:p>
    <w:bookmarkEnd w:id="100"/>
    <w:bookmarkStart w:id="101" w:name="ref-Yao1996"/>
    <w:p>
      <w:pPr>
        <w:pStyle w:val="BodyText"/>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01"/>
    <w:bookmarkEnd w:id="102"/>
    <w:p>
      <w:pPr>
        <w:pStyle w:val="Heading5"/>
      </w:pPr>
      <w:bookmarkStart w:id="103" w:name="pagebreak-1"/>
      <w:r>
        <w:t xml:space="preserve">pagebreak</w:t>
      </w:r>
      <w:bookmarkEnd w:id="103"/>
    </w:p>
    <w:p>
      <w:pPr>
        <w:pStyle w:val="Heading3"/>
      </w:pPr>
      <w:bookmarkStart w:id="104" w:name="colophon"/>
      <w:r>
        <w:t xml:space="preserve">Colophon</w:t>
      </w:r>
      <w:bookmarkEnd w:id="104"/>
    </w:p>
    <w:p>
      <w:pPr>
        <w:pStyle w:val="FirstParagraph"/>
      </w:pPr>
      <w:r>
        <w:t xml:space="preserve">This report was generated on 2019-09-22 00:42:51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Asia/Taipei                 </w:t>
      </w:r>
      <w:r>
        <w:br w:type="textWrapping"/>
      </w:r>
      <w:r>
        <w:rPr>
          <w:rStyle w:val="VerbatimChar"/>
        </w:rPr>
        <w:t xml:space="preserve">#&gt;  date     2019-09-22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w:t>
      </w:r>
      <w:r>
        <w:br w:type="textWrapping"/>
      </w:r>
      <w:r>
        <w:rPr>
          <w:rStyle w:val="VerbatimChar"/>
        </w:rPr>
        <w:t xml:space="preserve">#&gt;  abind            1.4-5   2016-07-21 [2]</w:t>
      </w:r>
      <w:r>
        <w:br w:type="textWrapping"/>
      </w:r>
      <w:r>
        <w:rPr>
          <w:rStyle w:val="VerbatimChar"/>
        </w:rPr>
        <w:t xml:space="preserve">#&gt;  assertthat       0.2.1   2019-03-21 [2]</w:t>
      </w:r>
      <w:r>
        <w:br w:type="textWrapping"/>
      </w:r>
      <w:r>
        <w:rPr>
          <w:rStyle w:val="VerbatimChar"/>
        </w:rPr>
        <w:t xml:space="preserve">#&gt;  backports        1.1.4   2019-04-10 [2]</w:t>
      </w:r>
      <w:r>
        <w:br w:type="textWrapping"/>
      </w:r>
      <w:r>
        <w:rPr>
          <w:rStyle w:val="VerbatimChar"/>
        </w:rPr>
        <w:t xml:space="preserve">#&gt;  bitops           1.0-6   2013-08-17 [2]</w:t>
      </w:r>
      <w:r>
        <w:br w:type="textWrapping"/>
      </w:r>
      <w:r>
        <w:rPr>
          <w:rStyle w:val="VerbatimChar"/>
        </w:rPr>
        <w:t xml:space="preserve">#&gt;  bookdown         0.13    2019-08-21 [2]</w:t>
      </w:r>
      <w:r>
        <w:br w:type="textWrapping"/>
      </w:r>
      <w:r>
        <w:rPr>
          <w:rStyle w:val="VerbatimChar"/>
        </w:rPr>
        <w:t xml:space="preserve">#&gt;  broom            0.5.2   2019-04-07 [2]</w:t>
      </w:r>
      <w:r>
        <w:br w:type="textWrapping"/>
      </w:r>
      <w:r>
        <w:rPr>
          <w:rStyle w:val="VerbatimChar"/>
        </w:rPr>
        <w:t xml:space="preserve">#&gt;  callr            3.3.1   2019-07-18 [2]</w:t>
      </w:r>
      <w:r>
        <w:br w:type="textWrapping"/>
      </w:r>
      <w:r>
        <w:rPr>
          <w:rStyle w:val="VerbatimChar"/>
        </w:rPr>
        <w:t xml:space="preserve">#&gt;  cartography    * 2.2.0   2019-02-07 [2]</w:t>
      </w:r>
      <w:r>
        <w:br w:type="textWrapping"/>
      </w:r>
      <w:r>
        <w:rPr>
          <w:rStyle w:val="VerbatimChar"/>
        </w:rPr>
        <w:t xml:space="preserve">#&gt;  cellranger       1.1.0   2016-07-27 [2]</w:t>
      </w:r>
      <w:r>
        <w:br w:type="textWrapping"/>
      </w:r>
      <w:r>
        <w:rPr>
          <w:rStyle w:val="VerbatimChar"/>
        </w:rPr>
        <w:t xml:space="preserve">#&gt;  class            7.3-15  2019-01-01 [2]</w:t>
      </w:r>
      <w:r>
        <w:br w:type="textWrapping"/>
      </w:r>
      <w:r>
        <w:rPr>
          <w:rStyle w:val="VerbatimChar"/>
        </w:rPr>
        <w:t xml:space="preserve">#&gt;  classInt         0.4-1   2019-08-06 [1]</w:t>
      </w:r>
      <w:r>
        <w:br w:type="textWrapping"/>
      </w:r>
      <w:r>
        <w:rPr>
          <w:rStyle w:val="VerbatimChar"/>
        </w:rPr>
        <w:t xml:space="preserve">#&gt;  cli              1.1.0   2019-03-19 [2]</w:t>
      </w:r>
      <w:r>
        <w:br w:type="textWrapping"/>
      </w:r>
      <w:r>
        <w:rPr>
          <w:rStyle w:val="VerbatimChar"/>
        </w:rPr>
        <w:t xml:space="preserve">#&gt;  codetools        0.2-16  2018-12-24 [2]</w:t>
      </w:r>
      <w:r>
        <w:br w:type="textWrapping"/>
      </w:r>
      <w:r>
        <w:rPr>
          <w:rStyle w:val="VerbatimChar"/>
        </w:rPr>
        <w:t xml:space="preserve">#&gt;  colorspace       1.4-1   2019-03-18 [2]</w:t>
      </w:r>
      <w:r>
        <w:br w:type="textWrapping"/>
      </w:r>
      <w:r>
        <w:rPr>
          <w:rStyle w:val="VerbatimChar"/>
        </w:rPr>
        <w:t xml:space="preserve">#&gt;  cowplot        * 0.9.4   2019-01-08 [2]</w:t>
      </w:r>
      <w:r>
        <w:br w:type="textWrapping"/>
      </w:r>
      <w:r>
        <w:rPr>
          <w:rStyle w:val="VerbatimChar"/>
        </w:rPr>
        <w:t xml:space="preserve">#&gt;  crayon           1.3.4   2017-09-16 [2]</w:t>
      </w:r>
      <w:r>
        <w:br w:type="textWrapping"/>
      </w:r>
      <w:r>
        <w:rPr>
          <w:rStyle w:val="VerbatimChar"/>
        </w:rPr>
        <w:t xml:space="preserve">#&gt;  DBI              1.0.0   2018-05-02 [2]</w:t>
      </w:r>
      <w:r>
        <w:br w:type="textWrapping"/>
      </w:r>
      <w:r>
        <w:rPr>
          <w:rStyle w:val="VerbatimChar"/>
        </w:rPr>
        <w:t xml:space="preserve">#&gt;  deldir           0.1-21  2019-06-15 [2]</w:t>
      </w:r>
      <w:r>
        <w:br w:type="textWrapping"/>
      </w:r>
      <w:r>
        <w:rPr>
          <w:rStyle w:val="VerbatimChar"/>
        </w:rPr>
        <w:t xml:space="preserve">#&gt;  desc             1.2.0   2018-05-01 [2]</w:t>
      </w:r>
      <w:r>
        <w:br w:type="textWrapping"/>
      </w:r>
      <w:r>
        <w:rPr>
          <w:rStyle w:val="VerbatimChar"/>
        </w:rPr>
        <w:t xml:space="preserve">#&gt;  devtools         2.2.0   2019-09-07 [2]</w:t>
      </w:r>
      <w:r>
        <w:br w:type="textWrapping"/>
      </w:r>
      <w:r>
        <w:rPr>
          <w:rStyle w:val="VerbatimChar"/>
        </w:rPr>
        <w:t xml:space="preserve">#&gt;  digest           0.6.20  2019-07-04 [1]</w:t>
      </w:r>
      <w:r>
        <w:br w:type="textWrapping"/>
      </w:r>
      <w:r>
        <w:rPr>
          <w:rStyle w:val="VerbatimChar"/>
        </w:rPr>
        <w:t xml:space="preserve">#&gt;  dplyr          * 0.8.3   2019-07-04 [1]</w:t>
      </w:r>
      <w:r>
        <w:br w:type="textWrapping"/>
      </w:r>
      <w:r>
        <w:rPr>
          <w:rStyle w:val="VerbatimChar"/>
        </w:rPr>
        <w:t xml:space="preserve">#&gt;  DT               0.8     2019-08-07 [2]</w:t>
      </w:r>
      <w:r>
        <w:br w:type="textWrapping"/>
      </w:r>
      <w:r>
        <w:rPr>
          <w:rStyle w:val="VerbatimChar"/>
        </w:rPr>
        <w:t xml:space="preserve">#&gt;  e1071            1.7-2   2019-06-05 [2]</w:t>
      </w:r>
      <w:r>
        <w:br w:type="textWrapping"/>
      </w:r>
      <w:r>
        <w:rPr>
          <w:rStyle w:val="VerbatimChar"/>
        </w:rPr>
        <w:t xml:space="preserve">#&gt;  ellipsis         0.2.0.1 2019-07-02 [1]</w:t>
      </w:r>
      <w:r>
        <w:br w:type="textWrapping"/>
      </w:r>
      <w:r>
        <w:rPr>
          <w:rStyle w:val="VerbatimChar"/>
        </w:rPr>
        <w:t xml:space="preserve">#&gt;  evaluate         0.14    2019-05-28 [2]</w:t>
      </w:r>
      <w:r>
        <w:br w:type="textWrapping"/>
      </w:r>
      <w:r>
        <w:rPr>
          <w:rStyle w:val="VerbatimChar"/>
        </w:rPr>
        <w:t xml:space="preserve">#&gt;  forcats        * 0.4.0   2019-02-17 [2]</w:t>
      </w:r>
      <w:r>
        <w:br w:type="textWrapping"/>
      </w:r>
      <w:r>
        <w:rPr>
          <w:rStyle w:val="VerbatimChar"/>
        </w:rPr>
        <w:t xml:space="preserve">#&gt;  foreign          0.8-71  2018-07-20 [2]</w:t>
      </w:r>
      <w:r>
        <w:br w:type="textWrapping"/>
      </w:r>
      <w:r>
        <w:rPr>
          <w:rStyle w:val="VerbatimChar"/>
        </w:rPr>
        <w:t xml:space="preserve">#&gt;  fs               1.3.1   2019-05-06 [2]</w:t>
      </w:r>
      <w:r>
        <w:br w:type="textWrapping"/>
      </w:r>
      <w:r>
        <w:rPr>
          <w:rStyle w:val="VerbatimChar"/>
        </w:rPr>
        <w:t xml:space="preserve">#&gt;  generics         0.0.2   2018-11-29 [2]</w:t>
      </w:r>
      <w:r>
        <w:br w:type="textWrapping"/>
      </w:r>
      <w:r>
        <w:rPr>
          <w:rStyle w:val="VerbatimChar"/>
        </w:rPr>
        <w:t xml:space="preserve">#&gt;  ggmap            3.0.0   2019-02-05 [2]</w:t>
      </w:r>
      <w:r>
        <w:br w:type="textWrapping"/>
      </w:r>
      <w:r>
        <w:rPr>
          <w:rStyle w:val="VerbatimChar"/>
        </w:rPr>
        <w:t xml:space="preserve">#&gt;  ggplot2        * 3.2.1   2019-08-10 [1]</w:t>
      </w:r>
      <w:r>
        <w:br w:type="textWrapping"/>
      </w:r>
      <w:r>
        <w:rPr>
          <w:rStyle w:val="VerbatimChar"/>
        </w:rPr>
        <w:t xml:space="preserve">#&gt;  ggsn           * 0.5.2   2019-08-15 [1]</w:t>
      </w:r>
      <w:r>
        <w:br w:type="textWrapping"/>
      </w:r>
      <w:r>
        <w:rPr>
          <w:rStyle w:val="VerbatimChar"/>
        </w:rPr>
        <w:t xml:space="preserve">#&gt;  glue             1.3.1   2019-03-12 [2]</w:t>
      </w:r>
      <w:r>
        <w:br w:type="textWrapping"/>
      </w:r>
      <w:r>
        <w:rPr>
          <w:rStyle w:val="VerbatimChar"/>
        </w:rPr>
        <w:t xml:space="preserve">#&gt;  goftest          1.1-1   2017-04-03 [2]</w:t>
      </w:r>
      <w:r>
        <w:br w:type="textWrapping"/>
      </w:r>
      <w:r>
        <w:rPr>
          <w:rStyle w:val="VerbatimChar"/>
        </w:rPr>
        <w:t xml:space="preserve">#&gt;  gridExtra        2.3     2017-09-09 [2]</w:t>
      </w:r>
      <w:r>
        <w:br w:type="textWrapping"/>
      </w:r>
      <w:r>
        <w:rPr>
          <w:rStyle w:val="VerbatimChar"/>
        </w:rPr>
        <w:t xml:space="preserve">#&gt;  gtable           0.3.0   2019-03-25 [2]</w:t>
      </w:r>
      <w:r>
        <w:br w:type="textWrapping"/>
      </w:r>
      <w:r>
        <w:rPr>
          <w:rStyle w:val="VerbatimChar"/>
        </w:rPr>
        <w:t xml:space="preserve">#&gt;  haven            2.1.0   2019-02-19 [2]</w:t>
      </w:r>
      <w:r>
        <w:br w:type="textWrapping"/>
      </w:r>
      <w:r>
        <w:rPr>
          <w:rStyle w:val="VerbatimChar"/>
        </w:rPr>
        <w:t xml:space="preserve">#&gt;  here           * 0.1     2017-05-28 [2]</w:t>
      </w:r>
      <w:r>
        <w:br w:type="textWrapping"/>
      </w:r>
      <w:r>
        <w:rPr>
          <w:rStyle w:val="VerbatimChar"/>
        </w:rPr>
        <w:t xml:space="preserve">#&gt;  highr            0.8     2019-03-20 [2]</w:t>
      </w:r>
      <w:r>
        <w:br w:type="textWrapping"/>
      </w:r>
      <w:r>
        <w:rPr>
          <w:rStyle w:val="VerbatimChar"/>
        </w:rPr>
        <w:t xml:space="preserve">#&gt;  hms              0.4.2   2018-03-10 [2]</w:t>
      </w:r>
      <w:r>
        <w:br w:type="textWrapping"/>
      </w:r>
      <w:r>
        <w:rPr>
          <w:rStyle w:val="VerbatimChar"/>
        </w:rPr>
        <w:t xml:space="preserve">#&gt;  htmltools        0.3.6   2017-04-28 [2]</w:t>
      </w:r>
      <w:r>
        <w:br w:type="textWrapping"/>
      </w:r>
      <w:r>
        <w:rPr>
          <w:rStyle w:val="VerbatimChar"/>
        </w:rPr>
        <w:t xml:space="preserve">#&gt;  htmlwidgets      1.3     2018-09-30 [2]</w:t>
      </w:r>
      <w:r>
        <w:br w:type="textWrapping"/>
      </w:r>
      <w:r>
        <w:rPr>
          <w:rStyle w:val="VerbatimChar"/>
        </w:rPr>
        <w:t xml:space="preserve">#&gt;  httr             1.4.1   2019-08-05 [1]</w:t>
      </w:r>
      <w:r>
        <w:br w:type="textWrapping"/>
      </w:r>
      <w:r>
        <w:rPr>
          <w:rStyle w:val="VerbatimChar"/>
        </w:rPr>
        <w:t xml:space="preserve">#&gt;  jpeg             0.1-8   2014-01-23 [2]</w:t>
      </w:r>
      <w:r>
        <w:br w:type="textWrapping"/>
      </w:r>
      <w:r>
        <w:rPr>
          <w:rStyle w:val="VerbatimChar"/>
        </w:rPr>
        <w:t xml:space="preserve">#&gt;  jsonlite         1.6     2018-12-07 [2]</w:t>
      </w:r>
      <w:r>
        <w:br w:type="textWrapping"/>
      </w:r>
      <w:r>
        <w:rPr>
          <w:rStyle w:val="VerbatimChar"/>
        </w:rPr>
        <w:t xml:space="preserve">#&gt;  KernSmooth       2.23-15 2015-06-29 [2]</w:t>
      </w:r>
      <w:r>
        <w:br w:type="textWrapping"/>
      </w:r>
      <w:r>
        <w:rPr>
          <w:rStyle w:val="VerbatimChar"/>
        </w:rPr>
        <w:t xml:space="preserve">#&gt;  knitr            1.24    2019-08-08 [2]</w:t>
      </w:r>
      <w:r>
        <w:br w:type="textWrapping"/>
      </w:r>
      <w:r>
        <w:rPr>
          <w:rStyle w:val="VerbatimChar"/>
        </w:rPr>
        <w:t xml:space="preserve">#&gt;  labeling         0.3     2014-08-23 [2]</w:t>
      </w:r>
      <w:r>
        <w:br w:type="textWrapping"/>
      </w:r>
      <w:r>
        <w:rPr>
          <w:rStyle w:val="VerbatimChar"/>
        </w:rPr>
        <w:t xml:space="preserve">#&gt;  lattice          0.20-38 2018-11-04 [2]</w:t>
      </w:r>
      <w:r>
        <w:br w:type="textWrapping"/>
      </w:r>
      <w:r>
        <w:rPr>
          <w:rStyle w:val="VerbatimChar"/>
        </w:rPr>
        <w:t xml:space="preserve">#&gt;  lazyeval         0.2.2   2019-03-15 [2]</w:t>
      </w:r>
      <w:r>
        <w:br w:type="textWrapping"/>
      </w:r>
      <w:r>
        <w:rPr>
          <w:rStyle w:val="VerbatimChar"/>
        </w:rPr>
        <w:t xml:space="preserve">#&gt;  lubridate        1.7.4   2018-04-11 [2]</w:t>
      </w:r>
      <w:r>
        <w:br w:type="textWrapping"/>
      </w:r>
      <w:r>
        <w:rPr>
          <w:rStyle w:val="VerbatimChar"/>
        </w:rPr>
        <w:t xml:space="preserve">#&gt;  magrittr         1.5     2014-11-22 [2]</w:t>
      </w:r>
      <w:r>
        <w:br w:type="textWrapping"/>
      </w:r>
      <w:r>
        <w:rPr>
          <w:rStyle w:val="VerbatimChar"/>
        </w:rPr>
        <w:t xml:space="preserve">#&gt;  maptools       * 0.9-5   2019-02-18 [2]</w:t>
      </w:r>
      <w:r>
        <w:br w:type="textWrapping"/>
      </w:r>
      <w:r>
        <w:rPr>
          <w:rStyle w:val="VerbatimChar"/>
        </w:rPr>
        <w:t xml:space="preserve">#&gt;  Matrix           1.2-17  2019-03-22 [2]</w:t>
      </w:r>
      <w:r>
        <w:br w:type="textWrapping"/>
      </w:r>
      <w:r>
        <w:rPr>
          <w:rStyle w:val="VerbatimChar"/>
        </w:rPr>
        <w:t xml:space="preserve">#&gt;  memoise          1.1.0   2017-04-21 [2]</w:t>
      </w:r>
      <w:r>
        <w:br w:type="textWrapping"/>
      </w:r>
      <w:r>
        <w:rPr>
          <w:rStyle w:val="VerbatimChar"/>
        </w:rPr>
        <w:t xml:space="preserve">#&gt;  mgcv             1.8-28  2019-03-21 [2]</w:t>
      </w:r>
      <w:r>
        <w:br w:type="textWrapping"/>
      </w:r>
      <w:r>
        <w:rPr>
          <w:rStyle w:val="VerbatimChar"/>
        </w:rPr>
        <w:t xml:space="preserve">#&gt;  modelr           0.1.4   2019-02-18 [2]</w:t>
      </w:r>
      <w:r>
        <w:br w:type="textWrapping"/>
      </w:r>
      <w:r>
        <w:rPr>
          <w:rStyle w:val="VerbatimChar"/>
        </w:rPr>
        <w:t xml:space="preserve">#&gt;  munsell          0.5.0   2018-06-12 [2]</w:t>
      </w:r>
      <w:r>
        <w:br w:type="textWrapping"/>
      </w:r>
      <w:r>
        <w:rPr>
          <w:rStyle w:val="VerbatimChar"/>
        </w:rPr>
        <w:t xml:space="preserve">#&gt;  nlme           * 3.1-140 2019-05-12 [2]</w:t>
      </w:r>
      <w:r>
        <w:br w:type="textWrapping"/>
      </w:r>
      <w:r>
        <w:rPr>
          <w:rStyle w:val="VerbatimChar"/>
        </w:rPr>
        <w:t xml:space="preserve">#&gt;  pillar           1.4.2   2019-06-29 [1]</w:t>
      </w:r>
      <w:r>
        <w:br w:type="textWrapping"/>
      </w:r>
      <w:r>
        <w:rPr>
          <w:rStyle w:val="VerbatimChar"/>
        </w:rPr>
        <w:t xml:space="preserve">#&gt;  pkgbuild         1.0.5   2019-08-26 [2]</w:t>
      </w:r>
      <w:r>
        <w:br w:type="textWrapping"/>
      </w:r>
      <w:r>
        <w:rPr>
          <w:rStyle w:val="VerbatimChar"/>
        </w:rPr>
        <w:t xml:space="preserve">#&gt;  pkgconfig        2.0.2   2018-08-16 [2]</w:t>
      </w:r>
      <w:r>
        <w:br w:type="textWrapping"/>
      </w:r>
      <w:r>
        <w:rPr>
          <w:rStyle w:val="VerbatimChar"/>
        </w:rPr>
        <w:t xml:space="preserve">#&gt;  pkgload          1.0.2   2018-10-29 [2]</w:t>
      </w:r>
      <w:r>
        <w:br w:type="textWrapping"/>
      </w:r>
      <w:r>
        <w:rPr>
          <w:rStyle w:val="VerbatimChar"/>
        </w:rPr>
        <w:t xml:space="preserve">#&gt;  plyr             1.8.4   2016-06-08 [2]</w:t>
      </w:r>
      <w:r>
        <w:br w:type="textWrapping"/>
      </w:r>
      <w:r>
        <w:rPr>
          <w:rStyle w:val="VerbatimChar"/>
        </w:rPr>
        <w:t xml:space="preserve">#&gt;  png              0.1-7   2013-12-03 [2]</w:t>
      </w:r>
      <w:r>
        <w:br w:type="textWrapping"/>
      </w:r>
      <w:r>
        <w:rPr>
          <w:rStyle w:val="VerbatimChar"/>
        </w:rPr>
        <w:t xml:space="preserve">#&gt;  polyclip         1.10-0  2019-03-14 [2]</w:t>
      </w:r>
      <w:r>
        <w:br w:type="textWrapping"/>
      </w:r>
      <w:r>
        <w:rPr>
          <w:rStyle w:val="VerbatimChar"/>
        </w:rPr>
        <w:t xml:space="preserve">#&gt;  prettyunits      1.0.2   2015-07-13 [2]</w:t>
      </w:r>
      <w:r>
        <w:br w:type="textWrapping"/>
      </w:r>
      <w:r>
        <w:rPr>
          <w:rStyle w:val="VerbatimChar"/>
        </w:rPr>
        <w:t xml:space="preserve">#&gt;  processx         3.4.1   2019-07-18 [2]</w:t>
      </w:r>
      <w:r>
        <w:br w:type="textWrapping"/>
      </w:r>
      <w:r>
        <w:rPr>
          <w:rStyle w:val="VerbatimChar"/>
        </w:rPr>
        <w:t xml:space="preserve">#&gt;  ps               1.3.0   2018-12-21 [2]</w:t>
      </w:r>
      <w:r>
        <w:br w:type="textWrapping"/>
      </w:r>
      <w:r>
        <w:rPr>
          <w:rStyle w:val="VerbatimChar"/>
        </w:rPr>
        <w:t xml:space="preserve">#&gt;  purrr          * 0.3.2   2019-03-15 [2]</w:t>
      </w:r>
      <w:r>
        <w:br w:type="textWrapping"/>
      </w:r>
      <w:r>
        <w:rPr>
          <w:rStyle w:val="VerbatimChar"/>
        </w:rPr>
        <w:t xml:space="preserve">#&gt;  R6               2.4.0   2019-02-14 [2]</w:t>
      </w:r>
      <w:r>
        <w:br w:type="textWrapping"/>
      </w:r>
      <w:r>
        <w:rPr>
          <w:rStyle w:val="VerbatimChar"/>
        </w:rPr>
        <w:t xml:space="preserve">#&gt;  raster         * 2.9-5   2019-05-14 [2]</w:t>
      </w:r>
      <w:r>
        <w:br w:type="textWrapping"/>
      </w:r>
      <w:r>
        <w:rPr>
          <w:rStyle w:val="VerbatimChar"/>
        </w:rPr>
        <w:t xml:space="preserve">#&gt;  Rcpp             1.0.2   2019-07-25 [1]</w:t>
      </w:r>
      <w:r>
        <w:br w:type="textWrapping"/>
      </w:r>
      <w:r>
        <w:rPr>
          <w:rStyle w:val="VerbatimChar"/>
        </w:rPr>
        <w:t xml:space="preserve">#&gt;  readr          * 1.3.1   2018-12-21 [2]</w:t>
      </w:r>
      <w:r>
        <w:br w:type="textWrapping"/>
      </w:r>
      <w:r>
        <w:rPr>
          <w:rStyle w:val="VerbatimChar"/>
        </w:rPr>
        <w:t xml:space="preserve">#&gt;  readxl           1.3.1   2019-03-13 [2]</w:t>
      </w:r>
      <w:r>
        <w:br w:type="textWrapping"/>
      </w:r>
      <w:r>
        <w:rPr>
          <w:rStyle w:val="VerbatimChar"/>
        </w:rPr>
        <w:t xml:space="preserve">#&gt;  remotes          2.1.0   2019-06-24 [2]</w:t>
      </w:r>
      <w:r>
        <w:br w:type="textWrapping"/>
      </w:r>
      <w:r>
        <w:rPr>
          <w:rStyle w:val="VerbatimChar"/>
        </w:rPr>
        <w:t xml:space="preserve">#&gt;  reshape2         1.4.3   2017-12-11 [2]</w:t>
      </w:r>
      <w:r>
        <w:br w:type="textWrapping"/>
      </w:r>
      <w:r>
        <w:rPr>
          <w:rStyle w:val="VerbatimChar"/>
        </w:rPr>
        <w:t xml:space="preserve">#&gt;  rgeos            0.4-3   2019-04-24 [2]</w:t>
      </w:r>
      <w:r>
        <w:br w:type="textWrapping"/>
      </w:r>
      <w:r>
        <w:rPr>
          <w:rStyle w:val="VerbatimChar"/>
        </w:rPr>
        <w:t xml:space="preserve">#&gt;  RgoogleMaps      1.4.3   2018-11-07 [2]</w:t>
      </w:r>
      <w:r>
        <w:br w:type="textWrapping"/>
      </w:r>
      <w:r>
        <w:rPr>
          <w:rStyle w:val="VerbatimChar"/>
        </w:rPr>
        <w:t xml:space="preserve">#&gt;  rjson            0.2.20  2018-06-08 [2]</w:t>
      </w:r>
      <w:r>
        <w:br w:type="textWrapping"/>
      </w:r>
      <w:r>
        <w:rPr>
          <w:rStyle w:val="VerbatimChar"/>
        </w:rPr>
        <w:t xml:space="preserve">#&gt;  rlang            0.4.0   2019-06-25 [2]</w:t>
      </w:r>
      <w:r>
        <w:br w:type="textWrapping"/>
      </w:r>
      <w:r>
        <w:rPr>
          <w:rStyle w:val="VerbatimChar"/>
        </w:rPr>
        <w:t xml:space="preserve">#&gt;  rmarkdown        1.15    2019-08-21 [2]</w:t>
      </w:r>
      <w:r>
        <w:br w:type="textWrapping"/>
      </w:r>
      <w:r>
        <w:rPr>
          <w:rStyle w:val="VerbatimChar"/>
        </w:rPr>
        <w:t xml:space="preserve">#&gt;  rpart          * 4.1-15  2019-04-12 [2]</w:t>
      </w:r>
      <w:r>
        <w:br w:type="textWrapping"/>
      </w:r>
      <w:r>
        <w:rPr>
          <w:rStyle w:val="VerbatimChar"/>
        </w:rPr>
        <w:t xml:space="preserve">#&gt;  rprojroot        1.3-2   2018-01-03 [2]</w:t>
      </w:r>
      <w:r>
        <w:br w:type="textWrapping"/>
      </w:r>
      <w:r>
        <w:rPr>
          <w:rStyle w:val="VerbatimChar"/>
        </w:rPr>
        <w:t xml:space="preserve">#&gt;  rstudioapi       0.10    2019-03-19 [2]</w:t>
      </w:r>
      <w:r>
        <w:br w:type="textWrapping"/>
      </w:r>
      <w:r>
        <w:rPr>
          <w:rStyle w:val="VerbatimChar"/>
        </w:rPr>
        <w:t xml:space="preserve">#&gt;  rvest            0.3.4   2019-05-15 [2]</w:t>
      </w:r>
      <w:r>
        <w:br w:type="textWrapping"/>
      </w:r>
      <w:r>
        <w:rPr>
          <w:rStyle w:val="VerbatimChar"/>
        </w:rPr>
        <w:t xml:space="preserve">#&gt;  scales           1.0.0   2018-08-09 [2]</w:t>
      </w:r>
      <w:r>
        <w:br w:type="textWrapping"/>
      </w:r>
      <w:r>
        <w:rPr>
          <w:rStyle w:val="VerbatimChar"/>
        </w:rPr>
        <w:t xml:space="preserve">#&gt;  sessioninfo      1.1.1   2018-11-05 [2]</w:t>
      </w:r>
      <w:r>
        <w:br w:type="textWrapping"/>
      </w:r>
      <w:r>
        <w:rPr>
          <w:rStyle w:val="VerbatimChar"/>
        </w:rPr>
        <w:t xml:space="preserve">#&gt;  sf             * 0.7-7   2019-07-24 [1]</w:t>
      </w:r>
      <w:r>
        <w:br w:type="textWrapping"/>
      </w:r>
      <w:r>
        <w:rPr>
          <w:rStyle w:val="VerbatimChar"/>
        </w:rPr>
        <w:t xml:space="preserve">#&gt;  sp             * 1.3-1   2018-06-05 [2]</w:t>
      </w:r>
      <w:r>
        <w:br w:type="textWrapping"/>
      </w:r>
      <w:r>
        <w:rPr>
          <w:rStyle w:val="VerbatimChar"/>
        </w:rPr>
        <w:t xml:space="preserve">#&gt;  spatstat       * 1.60-1  2019-06-23 [2]</w:t>
      </w:r>
      <w:r>
        <w:br w:type="textWrapping"/>
      </w:r>
      <w:r>
        <w:rPr>
          <w:rStyle w:val="VerbatimChar"/>
        </w:rPr>
        <w:t xml:space="preserve">#&gt;  spatstat.data  * 1.4-0   2018-10-04 [2]</w:t>
      </w:r>
      <w:r>
        <w:br w:type="textWrapping"/>
      </w:r>
      <w:r>
        <w:rPr>
          <w:rStyle w:val="VerbatimChar"/>
        </w:rPr>
        <w:t xml:space="preserve">#&gt;  spatstat.utils   1.13-0  2018-10-31 [2]</w:t>
      </w:r>
      <w:r>
        <w:br w:type="textWrapping"/>
      </w:r>
      <w:r>
        <w:rPr>
          <w:rStyle w:val="VerbatimChar"/>
        </w:rPr>
        <w:t xml:space="preserve">#&gt;  stringi          1.4.3   2019-03-12 [2]</w:t>
      </w:r>
      <w:r>
        <w:br w:type="textWrapping"/>
      </w:r>
      <w:r>
        <w:rPr>
          <w:rStyle w:val="VerbatimChar"/>
        </w:rPr>
        <w:t xml:space="preserve">#&gt;  stringr        * 1.4.0   2019-02-10 [2]</w:t>
      </w:r>
      <w:r>
        <w:br w:type="textWrapping"/>
      </w:r>
      <w:r>
        <w:rPr>
          <w:rStyle w:val="VerbatimChar"/>
        </w:rPr>
        <w:t xml:space="preserve">#&gt;  tensor           1.5     2012-05-05 [2]</w:t>
      </w:r>
      <w:r>
        <w:br w:type="textWrapping"/>
      </w:r>
      <w:r>
        <w:rPr>
          <w:rStyle w:val="VerbatimChar"/>
        </w:rPr>
        <w:t xml:space="preserve">#&gt;  testthat         2.2.1   2019-07-25 [2]</w:t>
      </w:r>
      <w:r>
        <w:br w:type="textWrapping"/>
      </w:r>
      <w:r>
        <w:rPr>
          <w:rStyle w:val="VerbatimChar"/>
        </w:rPr>
        <w:t xml:space="preserve">#&gt;  tibble         * 2.1.3   2019-06-06 [2]</w:t>
      </w:r>
      <w:r>
        <w:br w:type="textWrapping"/>
      </w:r>
      <w:r>
        <w:rPr>
          <w:rStyle w:val="VerbatimChar"/>
        </w:rPr>
        <w:t xml:space="preserve">#&gt;  tidyr          * 0.8.3   2019-03-01 [2]</w:t>
      </w:r>
      <w:r>
        <w:br w:type="textWrapping"/>
      </w:r>
      <w:r>
        <w:rPr>
          <w:rStyle w:val="VerbatimChar"/>
        </w:rPr>
        <w:t xml:space="preserve">#&gt;  tidyselect       0.2.5   2018-10-11 [2]</w:t>
      </w:r>
      <w:r>
        <w:br w:type="textWrapping"/>
      </w:r>
      <w:r>
        <w:rPr>
          <w:rStyle w:val="VerbatimChar"/>
        </w:rPr>
        <w:t xml:space="preserve">#&gt;  tidyverse      * 1.2.1   2017-11-14 [2]</w:t>
      </w:r>
      <w:r>
        <w:br w:type="textWrapping"/>
      </w:r>
      <w:r>
        <w:rPr>
          <w:rStyle w:val="VerbatimChar"/>
        </w:rPr>
        <w:t xml:space="preserve">#&gt;  units            0.6-3   2019-05-03 [2]</w:t>
      </w:r>
      <w:r>
        <w:br w:type="textWrapping"/>
      </w:r>
      <w:r>
        <w:rPr>
          <w:rStyle w:val="VerbatimChar"/>
        </w:rPr>
        <w:t xml:space="preserve">#&gt;  usethis          1.5.1   2019-07-04 [2]</w:t>
      </w:r>
      <w:r>
        <w:br w:type="textWrapping"/>
      </w:r>
      <w:r>
        <w:rPr>
          <w:rStyle w:val="VerbatimChar"/>
        </w:rPr>
        <w:t xml:space="preserve">#&gt;  viridis        * 0.5.1   2018-03-29 [2]</w:t>
      </w:r>
      <w:r>
        <w:br w:type="textWrapping"/>
      </w:r>
      <w:r>
        <w:rPr>
          <w:rStyle w:val="VerbatimChar"/>
        </w:rPr>
        <w:t xml:space="preserve">#&gt;  viridisLite    * 0.3.0   2018-02-01 [2]</w:t>
      </w:r>
      <w:r>
        <w:br w:type="textWrapping"/>
      </w:r>
      <w:r>
        <w:rPr>
          <w:rStyle w:val="VerbatimChar"/>
        </w:rPr>
        <w:t xml:space="preserve">#&gt;  withr            2.1.2   2018-03-15 [2]</w:t>
      </w:r>
      <w:r>
        <w:br w:type="textWrapping"/>
      </w:r>
      <w:r>
        <w:rPr>
          <w:rStyle w:val="VerbatimChar"/>
        </w:rPr>
        <w:t xml:space="preserve">#&gt;  xfun             0.9     2019-08-21 [2]</w:t>
      </w:r>
      <w:r>
        <w:br w:type="textWrapping"/>
      </w:r>
      <w:r>
        <w:rPr>
          <w:rStyle w:val="VerbatimChar"/>
        </w:rPr>
        <w:t xml:space="preserve">#&gt;  xml2             1.2.2   2019-08-09 [2]</w:t>
      </w:r>
      <w:r>
        <w:br w:type="textWrapping"/>
      </w:r>
      <w:r>
        <w:rPr>
          <w:rStyle w:val="VerbatimChar"/>
        </w:rPr>
        <w:t xml:space="preserve">#&gt;  yaml             2.2.0   2018-07-25 [2]</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(oswaldosantos/ggsn@ede12ed)</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[89b1aeb] 2019-09-21: reducing word count for resubmission</w:t>
      </w:r>
    </w:p>
    <w:p>
      <w:pPr>
        <w:pStyle w:val="FirstParagraph"/>
      </w:pPr>
      <w:r>
        <w:t xml:space="preserve">Word count: 2387</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27" Target="media/rId27.png" /><Relationship Type="http://schemas.openxmlformats.org/officeDocument/2006/relationships/image" Id="rId39" Target="media/rId39.jpg" /><Relationship Type="http://schemas.openxmlformats.org/officeDocument/2006/relationships/image" Id="rId37" Target="media/rId37.jpg" /><Relationship Type="http://schemas.openxmlformats.org/officeDocument/2006/relationships/image" Id="rId33" Target="media/rId33.jpg" /><Relationship Type="http://schemas.openxmlformats.org/officeDocument/2006/relationships/image" Id="rId30" Target="media/rId30.jpg" /><Relationship Type="http://schemas.openxmlformats.org/officeDocument/2006/relationships/image" Id="rId26" Target="media/rId26.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hyperlink" Id="rId29" Target="http://doi.org/10.17605/OSF.IO/R8YGA" TargetMode="External" /><Relationship Type="http://schemas.openxmlformats.org/officeDocument/2006/relationships/hyperlink" Id="rId9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9" Target="http://doi.org/10.17605/OSF.IO/R8YGA" TargetMode="External" /><Relationship Type="http://schemas.openxmlformats.org/officeDocument/2006/relationships/hyperlink" Id="rId9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arrival at Kiwulan, Northeastern Taiwan</dc:title>
  <dc:creator>Li-Ying Wang</dc:creator>
  <cp:keywords/>
  <dcterms:created xsi:type="dcterms:W3CDTF">2019-09-21T16:42:59Z</dcterms:created>
  <dcterms:modified xsi:type="dcterms:W3CDTF">2019-09-21T16:42:59Z</dcterms:modified>
</cp:coreProperties>
</file>